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DA" w:rsidRPr="00976543" w:rsidRDefault="007D41DA" w:rsidP="007D41DA">
      <w:pPr>
        <w:pStyle w:val="Header"/>
        <w:rPr>
          <w:rFonts w:cs="Times New Roman"/>
          <w:sz w:val="20"/>
        </w:rPr>
      </w:pPr>
      <w:r w:rsidRPr="00976543">
        <w:rPr>
          <w:rFonts w:cs="Times New Roman"/>
          <w:sz w:val="20"/>
        </w:rPr>
        <w:t>Indian Journal of Basic and Applied Medical Research; June 2016: Vol.-5,</w:t>
      </w:r>
      <w:r w:rsidR="005354AE">
        <w:rPr>
          <w:rFonts w:cs="Times New Roman"/>
          <w:sz w:val="20"/>
        </w:rPr>
        <w:t xml:space="preserve"> Issue- 3, P. 390-393</w:t>
      </w:r>
    </w:p>
    <w:p w:rsidR="007D41DA" w:rsidRDefault="007D41DA" w:rsidP="007D41DA">
      <w:pPr>
        <w:pStyle w:val="Header"/>
      </w:pPr>
    </w:p>
    <w:p w:rsidR="005354AE" w:rsidRPr="00406577" w:rsidRDefault="005354AE" w:rsidP="005354AE">
      <w:pPr>
        <w:autoSpaceDE w:val="0"/>
        <w:autoSpaceDN w:val="0"/>
        <w:adjustRightInd w:val="0"/>
        <w:spacing w:after="0" w:line="360" w:lineRule="auto"/>
        <w:rPr>
          <w:rFonts w:ascii="Cambria" w:hAnsi="Cambria"/>
          <w:b/>
          <w:bCs/>
          <w:szCs w:val="24"/>
        </w:rPr>
      </w:pPr>
      <w:r w:rsidRPr="00406577">
        <w:rPr>
          <w:rFonts w:ascii="Cambria" w:hAnsi="Cambria"/>
          <w:b/>
          <w:bCs/>
          <w:szCs w:val="24"/>
          <w:highlight w:val="lightGray"/>
        </w:rPr>
        <w:t>Original article:</w:t>
      </w:r>
    </w:p>
    <w:p w:rsidR="005354AE" w:rsidRPr="00406577" w:rsidRDefault="005354AE" w:rsidP="005354AE">
      <w:pPr>
        <w:autoSpaceDE w:val="0"/>
        <w:autoSpaceDN w:val="0"/>
        <w:adjustRightInd w:val="0"/>
        <w:spacing w:after="0" w:line="360" w:lineRule="auto"/>
        <w:rPr>
          <w:rFonts w:ascii="Cambria" w:hAnsi="Cambria"/>
          <w:b/>
          <w:bCs/>
          <w:color w:val="1F497D"/>
          <w:sz w:val="28"/>
          <w:szCs w:val="28"/>
        </w:rPr>
      </w:pPr>
      <w:r w:rsidRPr="00406577">
        <w:rPr>
          <w:rFonts w:ascii="Cambria" w:hAnsi="Cambria"/>
          <w:b/>
          <w:bCs/>
          <w:color w:val="1F497D"/>
          <w:sz w:val="28"/>
          <w:szCs w:val="28"/>
        </w:rPr>
        <w:t xml:space="preserve">MRI versus clinical examination in diagnosing </w:t>
      </w:r>
      <w:proofErr w:type="spellStart"/>
      <w:r w:rsidRPr="00406577">
        <w:rPr>
          <w:rFonts w:ascii="Cambria" w:hAnsi="Cambria"/>
          <w:b/>
          <w:bCs/>
          <w:color w:val="1F497D"/>
          <w:sz w:val="28"/>
          <w:szCs w:val="28"/>
        </w:rPr>
        <w:t>meniscal</w:t>
      </w:r>
      <w:proofErr w:type="spellEnd"/>
      <w:r w:rsidRPr="00406577">
        <w:rPr>
          <w:rFonts w:ascii="Cambria" w:hAnsi="Cambria"/>
          <w:b/>
          <w:bCs/>
          <w:color w:val="1F497D"/>
          <w:sz w:val="28"/>
          <w:szCs w:val="28"/>
        </w:rPr>
        <w:t xml:space="preserve"> and </w:t>
      </w:r>
      <w:proofErr w:type="spellStart"/>
      <w:r w:rsidRPr="00406577">
        <w:rPr>
          <w:rFonts w:ascii="Cambria" w:hAnsi="Cambria"/>
          <w:b/>
          <w:bCs/>
          <w:color w:val="1F497D"/>
          <w:sz w:val="28"/>
          <w:szCs w:val="28"/>
        </w:rPr>
        <w:t>ligamentous</w:t>
      </w:r>
      <w:proofErr w:type="spellEnd"/>
      <w:r w:rsidRPr="00406577">
        <w:rPr>
          <w:rFonts w:ascii="Cambria" w:hAnsi="Cambria"/>
          <w:b/>
          <w:bCs/>
          <w:color w:val="1F497D"/>
          <w:sz w:val="28"/>
          <w:szCs w:val="28"/>
        </w:rPr>
        <w:t xml:space="preserve"> injuries of knee</w:t>
      </w:r>
    </w:p>
    <w:p w:rsidR="005354AE" w:rsidRPr="00406577" w:rsidRDefault="005354AE" w:rsidP="005354AE">
      <w:pPr>
        <w:autoSpaceDE w:val="0"/>
        <w:autoSpaceDN w:val="0"/>
        <w:adjustRightInd w:val="0"/>
        <w:spacing w:after="0" w:line="360" w:lineRule="auto"/>
        <w:jc w:val="both"/>
        <w:rPr>
          <w:rFonts w:ascii="Cambria" w:hAnsi="Cambria"/>
          <w:b/>
          <w:bCs/>
        </w:rPr>
      </w:pPr>
      <w:proofErr w:type="spellStart"/>
      <w:r w:rsidRPr="00406577">
        <w:rPr>
          <w:rFonts w:ascii="Cambria" w:hAnsi="Cambria"/>
          <w:b/>
          <w:bCs/>
        </w:rPr>
        <w:t>Rakesh</w:t>
      </w:r>
      <w:proofErr w:type="spellEnd"/>
      <w:r w:rsidRPr="00406577">
        <w:rPr>
          <w:rFonts w:ascii="Cambria" w:hAnsi="Cambria"/>
          <w:b/>
          <w:bCs/>
        </w:rPr>
        <w:t xml:space="preserve"> </w:t>
      </w:r>
      <w:proofErr w:type="spellStart"/>
      <w:r w:rsidRPr="00406577">
        <w:rPr>
          <w:rFonts w:ascii="Cambria" w:hAnsi="Cambria"/>
          <w:b/>
          <w:bCs/>
        </w:rPr>
        <w:t>Gujjar</w:t>
      </w:r>
      <w:proofErr w:type="spellEnd"/>
      <w:r w:rsidRPr="00406577">
        <w:rPr>
          <w:rFonts w:ascii="Cambria" w:hAnsi="Cambria"/>
          <w:b/>
          <w:bCs/>
        </w:rPr>
        <w:t>*</w:t>
      </w:r>
      <w:r w:rsidRPr="00406577">
        <w:rPr>
          <w:rFonts w:ascii="Cambria" w:hAnsi="Cambria"/>
        </w:rPr>
        <w:t>(Corresponding author)</w:t>
      </w:r>
      <w:r w:rsidRPr="00406577">
        <w:rPr>
          <w:rFonts w:ascii="Cambria" w:hAnsi="Cambria"/>
          <w:b/>
          <w:bCs/>
        </w:rPr>
        <w:t xml:space="preserve">, R. P. </w:t>
      </w:r>
      <w:proofErr w:type="spellStart"/>
      <w:r w:rsidRPr="00406577">
        <w:rPr>
          <w:rFonts w:ascii="Cambria" w:hAnsi="Cambria"/>
          <w:b/>
          <w:bCs/>
        </w:rPr>
        <w:t>Bansal</w:t>
      </w:r>
      <w:proofErr w:type="spellEnd"/>
      <w:r w:rsidRPr="00406577">
        <w:rPr>
          <w:rFonts w:ascii="Cambria" w:hAnsi="Cambria"/>
          <w:b/>
          <w:bCs/>
        </w:rPr>
        <w:t xml:space="preserve">, L. K. </w:t>
      </w:r>
      <w:proofErr w:type="spellStart"/>
      <w:r w:rsidRPr="00406577">
        <w:rPr>
          <w:rFonts w:ascii="Cambria" w:hAnsi="Cambria"/>
          <w:b/>
          <w:bCs/>
        </w:rPr>
        <w:t>Gotecha</w:t>
      </w:r>
      <w:proofErr w:type="spellEnd"/>
      <w:r w:rsidRPr="00406577">
        <w:rPr>
          <w:rFonts w:ascii="Cambria" w:hAnsi="Cambria"/>
          <w:b/>
          <w:bCs/>
        </w:rPr>
        <w:t xml:space="preserve">, </w:t>
      </w:r>
      <w:r>
        <w:rPr>
          <w:rFonts w:ascii="Cambria" w:hAnsi="Cambria"/>
          <w:b/>
          <w:bCs/>
        </w:rPr>
        <w:t xml:space="preserve">Sandeep </w:t>
      </w:r>
      <w:proofErr w:type="spellStart"/>
      <w:r>
        <w:rPr>
          <w:rFonts w:ascii="Cambria" w:hAnsi="Cambria"/>
          <w:b/>
          <w:bCs/>
        </w:rPr>
        <w:t>Rao</w:t>
      </w:r>
      <w:proofErr w:type="spellEnd"/>
    </w:p>
    <w:p w:rsidR="005354AE" w:rsidRPr="00406577" w:rsidRDefault="005354AE" w:rsidP="005354AE">
      <w:pPr>
        <w:autoSpaceDE w:val="0"/>
        <w:autoSpaceDN w:val="0"/>
        <w:adjustRightInd w:val="0"/>
        <w:spacing w:after="0" w:line="360" w:lineRule="auto"/>
        <w:jc w:val="both"/>
        <w:rPr>
          <w:rFonts w:ascii="Cambria" w:hAnsi="Cambria"/>
          <w:b/>
          <w:bCs/>
          <w:sz w:val="20"/>
          <w:szCs w:val="20"/>
        </w:rPr>
      </w:pPr>
    </w:p>
    <w:p w:rsidR="005354AE" w:rsidRDefault="005354AE" w:rsidP="005354AE">
      <w:pPr>
        <w:pBdr>
          <w:bottom w:val="single" w:sz="6" w:space="1" w:color="auto"/>
        </w:pBdr>
        <w:autoSpaceDE w:val="0"/>
        <w:autoSpaceDN w:val="0"/>
        <w:adjustRightInd w:val="0"/>
        <w:spacing w:after="0" w:line="360" w:lineRule="auto"/>
        <w:jc w:val="both"/>
        <w:rPr>
          <w:rFonts w:ascii="Cambria" w:hAnsi="Cambria"/>
          <w:sz w:val="18"/>
          <w:szCs w:val="18"/>
        </w:rPr>
      </w:pPr>
      <w:r w:rsidRPr="00406577">
        <w:rPr>
          <w:rFonts w:ascii="Cambria" w:hAnsi="Cambria"/>
          <w:sz w:val="18"/>
          <w:szCs w:val="18"/>
        </w:rPr>
        <w:t xml:space="preserve">Department of Radio-diagnosis and imaging, NIMS Hospital and College, </w:t>
      </w:r>
      <w:proofErr w:type="spellStart"/>
      <w:r w:rsidRPr="00406577">
        <w:rPr>
          <w:rFonts w:ascii="Cambria" w:hAnsi="Cambria"/>
          <w:sz w:val="18"/>
          <w:szCs w:val="18"/>
        </w:rPr>
        <w:t>Jaipur</w:t>
      </w:r>
      <w:proofErr w:type="spellEnd"/>
    </w:p>
    <w:p w:rsidR="005354AE" w:rsidRPr="00406577" w:rsidRDefault="005354AE" w:rsidP="005354AE">
      <w:pPr>
        <w:autoSpaceDE w:val="0"/>
        <w:autoSpaceDN w:val="0"/>
        <w:adjustRightInd w:val="0"/>
        <w:spacing w:after="0" w:line="360" w:lineRule="auto"/>
        <w:jc w:val="both"/>
        <w:rPr>
          <w:rFonts w:ascii="Cambria" w:hAnsi="Cambria"/>
          <w:sz w:val="18"/>
          <w:szCs w:val="18"/>
        </w:rPr>
      </w:pPr>
    </w:p>
    <w:p w:rsidR="005354AE" w:rsidRPr="00406577" w:rsidRDefault="005354AE" w:rsidP="005354AE">
      <w:pPr>
        <w:spacing w:after="0" w:line="360" w:lineRule="auto"/>
        <w:jc w:val="both"/>
        <w:rPr>
          <w:b/>
          <w:sz w:val="20"/>
          <w:szCs w:val="20"/>
        </w:rPr>
      </w:pPr>
      <w:r w:rsidRPr="00406577">
        <w:rPr>
          <w:b/>
          <w:sz w:val="20"/>
          <w:szCs w:val="20"/>
        </w:rPr>
        <w:t xml:space="preserve">Abstract </w:t>
      </w:r>
    </w:p>
    <w:p w:rsidR="005354AE" w:rsidRPr="00406577" w:rsidRDefault="005354AE" w:rsidP="005354AE">
      <w:pPr>
        <w:spacing w:after="0" w:line="360" w:lineRule="auto"/>
        <w:jc w:val="both"/>
        <w:rPr>
          <w:sz w:val="18"/>
          <w:szCs w:val="18"/>
        </w:rPr>
      </w:pPr>
      <w:r w:rsidRPr="00406577">
        <w:rPr>
          <w:b/>
          <w:sz w:val="18"/>
          <w:szCs w:val="18"/>
        </w:rPr>
        <w:t>Objective</w:t>
      </w:r>
      <w:r w:rsidRPr="00406577">
        <w:rPr>
          <w:sz w:val="18"/>
          <w:szCs w:val="18"/>
        </w:rPr>
        <w:t xml:space="preserve">: The purpose of this study was to correlate clinical and MRI findings in diagnosing ligament and meniscus tears in knee joint injuries. </w:t>
      </w:r>
    </w:p>
    <w:p w:rsidR="005354AE" w:rsidRPr="00406577" w:rsidRDefault="005354AE" w:rsidP="005354AE">
      <w:pPr>
        <w:spacing w:after="0" w:line="360" w:lineRule="auto"/>
        <w:jc w:val="both"/>
        <w:rPr>
          <w:sz w:val="18"/>
          <w:szCs w:val="18"/>
        </w:rPr>
      </w:pPr>
      <w:r w:rsidRPr="00406577">
        <w:rPr>
          <w:sz w:val="18"/>
          <w:szCs w:val="18"/>
        </w:rPr>
        <w:t xml:space="preserve">Material and methods: 30 cases with history of rotational injury having knee pain and recurrent swelling who were referred to Radiology Department for MRI of knee joint following injury to the knee with an age ranging from 11 to 60 years were subjected to this study. Prior to MRI, a detailed history, clinical, and local examination were done in all the subjects. MRI was carried out on .35 Tesla Siemens </w:t>
      </w:r>
      <w:proofErr w:type="spellStart"/>
      <w:r w:rsidRPr="00406577">
        <w:rPr>
          <w:sz w:val="18"/>
          <w:szCs w:val="18"/>
        </w:rPr>
        <w:t>Magnetom</w:t>
      </w:r>
      <w:proofErr w:type="spellEnd"/>
      <w:r w:rsidRPr="00406577">
        <w:rPr>
          <w:sz w:val="18"/>
          <w:szCs w:val="18"/>
        </w:rPr>
        <w:t xml:space="preserve"> C machine using specific knee coil. </w:t>
      </w:r>
      <w:proofErr w:type="gramStart"/>
      <w:r w:rsidRPr="00406577">
        <w:rPr>
          <w:sz w:val="18"/>
          <w:szCs w:val="18"/>
        </w:rPr>
        <w:t>and</w:t>
      </w:r>
      <w:proofErr w:type="gramEnd"/>
      <w:r w:rsidRPr="00406577">
        <w:rPr>
          <w:sz w:val="18"/>
          <w:szCs w:val="18"/>
        </w:rPr>
        <w:t xml:space="preserve"> the standard protocol consisted of fat-suppressed PD in axial, </w:t>
      </w:r>
      <w:proofErr w:type="spellStart"/>
      <w:r w:rsidRPr="00406577">
        <w:rPr>
          <w:sz w:val="18"/>
          <w:szCs w:val="18"/>
        </w:rPr>
        <w:t>sagittal</w:t>
      </w:r>
      <w:proofErr w:type="spellEnd"/>
      <w:r w:rsidRPr="00406577">
        <w:rPr>
          <w:sz w:val="18"/>
          <w:szCs w:val="18"/>
        </w:rPr>
        <w:t xml:space="preserve">, and coronal planes, T2W in axial, and </w:t>
      </w:r>
      <w:proofErr w:type="spellStart"/>
      <w:r w:rsidRPr="00406577">
        <w:rPr>
          <w:sz w:val="18"/>
          <w:szCs w:val="18"/>
        </w:rPr>
        <w:t>sagittal</w:t>
      </w:r>
      <w:proofErr w:type="spellEnd"/>
      <w:r w:rsidRPr="00406577">
        <w:rPr>
          <w:sz w:val="18"/>
          <w:szCs w:val="18"/>
        </w:rPr>
        <w:t xml:space="preserve"> plane and T1W in axial, and </w:t>
      </w:r>
      <w:proofErr w:type="spellStart"/>
      <w:r w:rsidRPr="00406577">
        <w:rPr>
          <w:sz w:val="18"/>
          <w:szCs w:val="18"/>
        </w:rPr>
        <w:t>sagittal</w:t>
      </w:r>
      <w:proofErr w:type="spellEnd"/>
      <w:r w:rsidRPr="00406577">
        <w:rPr>
          <w:sz w:val="18"/>
          <w:szCs w:val="18"/>
        </w:rPr>
        <w:t xml:space="preserve"> plane. </w:t>
      </w:r>
    </w:p>
    <w:p w:rsidR="005354AE" w:rsidRPr="00406577" w:rsidRDefault="005354AE" w:rsidP="005354AE">
      <w:pPr>
        <w:spacing w:after="0" w:line="360" w:lineRule="auto"/>
        <w:jc w:val="both"/>
        <w:rPr>
          <w:sz w:val="18"/>
          <w:szCs w:val="18"/>
        </w:rPr>
      </w:pPr>
      <w:r w:rsidRPr="00406577">
        <w:rPr>
          <w:b/>
          <w:sz w:val="18"/>
          <w:szCs w:val="18"/>
        </w:rPr>
        <w:t>Results:</w:t>
      </w:r>
      <w:r w:rsidRPr="00406577">
        <w:rPr>
          <w:sz w:val="18"/>
          <w:szCs w:val="18"/>
        </w:rPr>
        <w:t xml:space="preserve"> MRI had 100% sensitivity and negative predictive value (NPV) in diagnosing ACL tears in this study. Clinical </w:t>
      </w:r>
      <w:proofErr w:type="gramStart"/>
      <w:r w:rsidRPr="00406577">
        <w:rPr>
          <w:sz w:val="18"/>
          <w:szCs w:val="18"/>
        </w:rPr>
        <w:t>examination</w:t>
      </w:r>
      <w:proofErr w:type="gramEnd"/>
      <w:r w:rsidRPr="00406577">
        <w:rPr>
          <w:sz w:val="18"/>
          <w:szCs w:val="18"/>
        </w:rPr>
        <w:t xml:space="preserve"> had sensitivity of 88% and NPV 75% in diagnosing ACL injuries as compared to arthroscopy. There was high NPV of MR examination (96%) in diagnosing meniscus tear while the PPV of MR examination was low (71%) as compared to arthroscopy. These values were low in case of clinical examination. </w:t>
      </w:r>
    </w:p>
    <w:p w:rsidR="005354AE" w:rsidRPr="00406577" w:rsidRDefault="005354AE" w:rsidP="005354AE">
      <w:pPr>
        <w:spacing w:after="0" w:line="360" w:lineRule="auto"/>
        <w:jc w:val="both"/>
        <w:rPr>
          <w:sz w:val="18"/>
          <w:szCs w:val="18"/>
        </w:rPr>
      </w:pPr>
      <w:r w:rsidRPr="00406577">
        <w:rPr>
          <w:b/>
          <w:sz w:val="18"/>
          <w:szCs w:val="18"/>
        </w:rPr>
        <w:t>Conclusion:</w:t>
      </w:r>
      <w:r w:rsidRPr="00406577">
        <w:rPr>
          <w:sz w:val="18"/>
          <w:szCs w:val="18"/>
        </w:rPr>
        <w:t xml:space="preserve"> Magnetic resonance imaging is useful as a preoperative diagnostic tool in selected cases where a clinical examination cannot be performed as in acute injuries or in cases where clinical examination is inconclusive. The efficacy of MRI in diagnosing a tear varies among different intra </w:t>
      </w:r>
      <w:proofErr w:type="spellStart"/>
      <w:r w:rsidRPr="00406577">
        <w:rPr>
          <w:sz w:val="18"/>
          <w:szCs w:val="18"/>
        </w:rPr>
        <w:t>articular</w:t>
      </w:r>
      <w:proofErr w:type="spellEnd"/>
      <w:r w:rsidRPr="00406577">
        <w:rPr>
          <w:sz w:val="18"/>
          <w:szCs w:val="18"/>
        </w:rPr>
        <w:t xml:space="preserve"> structures. MRI has a high accuracy in diagnosing a tear of PCL. Sensitivity for medial </w:t>
      </w:r>
      <w:proofErr w:type="spellStart"/>
      <w:r w:rsidRPr="00406577">
        <w:rPr>
          <w:sz w:val="18"/>
          <w:szCs w:val="18"/>
        </w:rPr>
        <w:t>meniscal</w:t>
      </w:r>
      <w:proofErr w:type="spellEnd"/>
      <w:r w:rsidRPr="00406577">
        <w:rPr>
          <w:sz w:val="18"/>
          <w:szCs w:val="18"/>
        </w:rPr>
        <w:t xml:space="preserve"> tear is higher as compared to lateral meniscus and high for PCL as compared to ACL. MRI has a high positive predictive value for ACL, but has a low negative predictive value. For PCL tears, MRI has a high negative predictive value which indicates that with a negative result for PCL on MRI, a diagnostic arthroscopy can be avoided. </w:t>
      </w:r>
    </w:p>
    <w:p w:rsidR="005354AE" w:rsidRPr="00406577" w:rsidRDefault="005354AE" w:rsidP="005354AE">
      <w:pPr>
        <w:pBdr>
          <w:bottom w:val="single" w:sz="6" w:space="1" w:color="auto"/>
        </w:pBdr>
        <w:spacing w:after="0" w:line="360" w:lineRule="auto"/>
        <w:jc w:val="both"/>
        <w:rPr>
          <w:sz w:val="18"/>
          <w:szCs w:val="18"/>
          <w:lang w:eastAsia="en-IN"/>
        </w:rPr>
      </w:pPr>
      <w:r w:rsidRPr="00406577">
        <w:rPr>
          <w:b/>
          <w:sz w:val="18"/>
          <w:szCs w:val="18"/>
        </w:rPr>
        <w:t xml:space="preserve">Key words: </w:t>
      </w:r>
      <w:r w:rsidRPr="00406577">
        <w:rPr>
          <w:sz w:val="18"/>
          <w:szCs w:val="18"/>
          <w:lang w:eastAsia="en-IN"/>
        </w:rPr>
        <w:t xml:space="preserve">MRI Knee, Clinical examination, Knee injuries, </w:t>
      </w:r>
      <w:proofErr w:type="spellStart"/>
      <w:r w:rsidRPr="00406577">
        <w:rPr>
          <w:sz w:val="18"/>
          <w:szCs w:val="18"/>
          <w:lang w:eastAsia="en-IN"/>
        </w:rPr>
        <w:t>Meniscal</w:t>
      </w:r>
      <w:proofErr w:type="spellEnd"/>
      <w:r w:rsidRPr="00406577">
        <w:rPr>
          <w:sz w:val="18"/>
          <w:szCs w:val="18"/>
          <w:lang w:eastAsia="en-IN"/>
        </w:rPr>
        <w:t xml:space="preserve"> injuries, </w:t>
      </w:r>
      <w:proofErr w:type="spellStart"/>
      <w:r w:rsidRPr="00406577">
        <w:rPr>
          <w:sz w:val="18"/>
          <w:szCs w:val="18"/>
          <w:lang w:eastAsia="en-IN"/>
        </w:rPr>
        <w:t>Ligamentous</w:t>
      </w:r>
      <w:proofErr w:type="spellEnd"/>
      <w:r w:rsidRPr="00406577">
        <w:rPr>
          <w:sz w:val="18"/>
          <w:szCs w:val="18"/>
          <w:lang w:eastAsia="en-IN"/>
        </w:rPr>
        <w:t xml:space="preserve"> injuries.</w:t>
      </w:r>
    </w:p>
    <w:p w:rsidR="0006104F" w:rsidRDefault="0006104F" w:rsidP="005354AE">
      <w:pPr>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1DA"/>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70C72"/>
    <w:rsid w:val="00072DA0"/>
    <w:rsid w:val="0007482E"/>
    <w:rsid w:val="00076D66"/>
    <w:rsid w:val="000820D6"/>
    <w:rsid w:val="00084A3A"/>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7AC4"/>
    <w:rsid w:val="0014485A"/>
    <w:rsid w:val="00146BCB"/>
    <w:rsid w:val="00147EA1"/>
    <w:rsid w:val="00152479"/>
    <w:rsid w:val="001570C9"/>
    <w:rsid w:val="001611C2"/>
    <w:rsid w:val="00164845"/>
    <w:rsid w:val="00165C5F"/>
    <w:rsid w:val="00170BEB"/>
    <w:rsid w:val="0017111A"/>
    <w:rsid w:val="00171FD4"/>
    <w:rsid w:val="001730A0"/>
    <w:rsid w:val="001748A9"/>
    <w:rsid w:val="001759D4"/>
    <w:rsid w:val="00182E39"/>
    <w:rsid w:val="0018409B"/>
    <w:rsid w:val="00184C40"/>
    <w:rsid w:val="001958A0"/>
    <w:rsid w:val="0019756D"/>
    <w:rsid w:val="001A343B"/>
    <w:rsid w:val="001A6F90"/>
    <w:rsid w:val="001B61ED"/>
    <w:rsid w:val="001C209C"/>
    <w:rsid w:val="001C3167"/>
    <w:rsid w:val="001C6CEB"/>
    <w:rsid w:val="001C7660"/>
    <w:rsid w:val="001D50D7"/>
    <w:rsid w:val="001D6B9A"/>
    <w:rsid w:val="001E5522"/>
    <w:rsid w:val="001F4058"/>
    <w:rsid w:val="00201423"/>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2074"/>
    <w:rsid w:val="002D3890"/>
    <w:rsid w:val="002D5A6F"/>
    <w:rsid w:val="002D6826"/>
    <w:rsid w:val="002D7C0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6008"/>
    <w:rsid w:val="003B2261"/>
    <w:rsid w:val="003C11BF"/>
    <w:rsid w:val="003C3333"/>
    <w:rsid w:val="003C43DE"/>
    <w:rsid w:val="003C7662"/>
    <w:rsid w:val="003D2162"/>
    <w:rsid w:val="003D2E97"/>
    <w:rsid w:val="003E1000"/>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7C4B"/>
    <w:rsid w:val="00452D35"/>
    <w:rsid w:val="00457B70"/>
    <w:rsid w:val="00470CAD"/>
    <w:rsid w:val="004711F2"/>
    <w:rsid w:val="00471D68"/>
    <w:rsid w:val="0047253C"/>
    <w:rsid w:val="00481A26"/>
    <w:rsid w:val="00494B2B"/>
    <w:rsid w:val="004968C8"/>
    <w:rsid w:val="0049703A"/>
    <w:rsid w:val="004A0716"/>
    <w:rsid w:val="004A1FEA"/>
    <w:rsid w:val="004A6137"/>
    <w:rsid w:val="004B0F96"/>
    <w:rsid w:val="004B2295"/>
    <w:rsid w:val="004B274B"/>
    <w:rsid w:val="004B372A"/>
    <w:rsid w:val="004B53B1"/>
    <w:rsid w:val="004B796A"/>
    <w:rsid w:val="004C02A1"/>
    <w:rsid w:val="004C70BC"/>
    <w:rsid w:val="004D3A3B"/>
    <w:rsid w:val="004E5433"/>
    <w:rsid w:val="004E6805"/>
    <w:rsid w:val="004F1D75"/>
    <w:rsid w:val="005002CA"/>
    <w:rsid w:val="00500EBC"/>
    <w:rsid w:val="00502AD9"/>
    <w:rsid w:val="0051093C"/>
    <w:rsid w:val="00517CD7"/>
    <w:rsid w:val="00523376"/>
    <w:rsid w:val="00523CF1"/>
    <w:rsid w:val="005354AE"/>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3E9F"/>
    <w:rsid w:val="005A5D36"/>
    <w:rsid w:val="005A6DEE"/>
    <w:rsid w:val="005B070D"/>
    <w:rsid w:val="005B2051"/>
    <w:rsid w:val="005B38F2"/>
    <w:rsid w:val="005B3CF6"/>
    <w:rsid w:val="005B7B47"/>
    <w:rsid w:val="005C1530"/>
    <w:rsid w:val="005D25C5"/>
    <w:rsid w:val="005D4E74"/>
    <w:rsid w:val="005E13D7"/>
    <w:rsid w:val="005E358D"/>
    <w:rsid w:val="005F258B"/>
    <w:rsid w:val="005F285A"/>
    <w:rsid w:val="005F33DF"/>
    <w:rsid w:val="005F5107"/>
    <w:rsid w:val="005F5EE4"/>
    <w:rsid w:val="006053C7"/>
    <w:rsid w:val="00611756"/>
    <w:rsid w:val="006147EF"/>
    <w:rsid w:val="00615983"/>
    <w:rsid w:val="006174F9"/>
    <w:rsid w:val="006214E0"/>
    <w:rsid w:val="0062391D"/>
    <w:rsid w:val="00625DE1"/>
    <w:rsid w:val="00631874"/>
    <w:rsid w:val="00642983"/>
    <w:rsid w:val="00642D65"/>
    <w:rsid w:val="00645008"/>
    <w:rsid w:val="00647EA3"/>
    <w:rsid w:val="006502A9"/>
    <w:rsid w:val="00660EC9"/>
    <w:rsid w:val="00665BE5"/>
    <w:rsid w:val="006679FE"/>
    <w:rsid w:val="006703A2"/>
    <w:rsid w:val="006749E4"/>
    <w:rsid w:val="00683874"/>
    <w:rsid w:val="00685AA4"/>
    <w:rsid w:val="006877C3"/>
    <w:rsid w:val="00691E03"/>
    <w:rsid w:val="006947E2"/>
    <w:rsid w:val="006A5EE3"/>
    <w:rsid w:val="006B08BB"/>
    <w:rsid w:val="006B1E5A"/>
    <w:rsid w:val="006C1D4F"/>
    <w:rsid w:val="006C57C3"/>
    <w:rsid w:val="006D0572"/>
    <w:rsid w:val="006D25FC"/>
    <w:rsid w:val="006D2B83"/>
    <w:rsid w:val="006D61AB"/>
    <w:rsid w:val="006D6844"/>
    <w:rsid w:val="006E1C81"/>
    <w:rsid w:val="006E51A8"/>
    <w:rsid w:val="006E561D"/>
    <w:rsid w:val="006E7A63"/>
    <w:rsid w:val="006F385A"/>
    <w:rsid w:val="006F5820"/>
    <w:rsid w:val="006F78FC"/>
    <w:rsid w:val="00703E24"/>
    <w:rsid w:val="007048FF"/>
    <w:rsid w:val="00710438"/>
    <w:rsid w:val="00715D7F"/>
    <w:rsid w:val="00721DED"/>
    <w:rsid w:val="00721E3C"/>
    <w:rsid w:val="00725FD2"/>
    <w:rsid w:val="0073374D"/>
    <w:rsid w:val="00733D8A"/>
    <w:rsid w:val="0074317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B6"/>
    <w:rsid w:val="00777A8A"/>
    <w:rsid w:val="00782BA4"/>
    <w:rsid w:val="0078359A"/>
    <w:rsid w:val="007845A0"/>
    <w:rsid w:val="00785106"/>
    <w:rsid w:val="007A1D70"/>
    <w:rsid w:val="007A2250"/>
    <w:rsid w:val="007B3B05"/>
    <w:rsid w:val="007B51B6"/>
    <w:rsid w:val="007B648D"/>
    <w:rsid w:val="007B79CF"/>
    <w:rsid w:val="007C0936"/>
    <w:rsid w:val="007C4564"/>
    <w:rsid w:val="007C4F84"/>
    <w:rsid w:val="007C5C1D"/>
    <w:rsid w:val="007C7321"/>
    <w:rsid w:val="007D1361"/>
    <w:rsid w:val="007D41DA"/>
    <w:rsid w:val="007D5157"/>
    <w:rsid w:val="007F4EED"/>
    <w:rsid w:val="007F6FE0"/>
    <w:rsid w:val="007F791A"/>
    <w:rsid w:val="00801D88"/>
    <w:rsid w:val="00802A7B"/>
    <w:rsid w:val="00803B52"/>
    <w:rsid w:val="008042EC"/>
    <w:rsid w:val="008061DD"/>
    <w:rsid w:val="008069AB"/>
    <w:rsid w:val="00807D9A"/>
    <w:rsid w:val="00811401"/>
    <w:rsid w:val="00816BE3"/>
    <w:rsid w:val="00821D4A"/>
    <w:rsid w:val="00823D90"/>
    <w:rsid w:val="00841278"/>
    <w:rsid w:val="00841BB4"/>
    <w:rsid w:val="00856ED6"/>
    <w:rsid w:val="0086056E"/>
    <w:rsid w:val="00864366"/>
    <w:rsid w:val="0086751C"/>
    <w:rsid w:val="00872940"/>
    <w:rsid w:val="0087474B"/>
    <w:rsid w:val="00880415"/>
    <w:rsid w:val="00885A3F"/>
    <w:rsid w:val="00885D26"/>
    <w:rsid w:val="008A2BBA"/>
    <w:rsid w:val="008A74E5"/>
    <w:rsid w:val="008C0BDA"/>
    <w:rsid w:val="008C3942"/>
    <w:rsid w:val="008C5515"/>
    <w:rsid w:val="008C7BF6"/>
    <w:rsid w:val="008D2250"/>
    <w:rsid w:val="008D3669"/>
    <w:rsid w:val="008D50EE"/>
    <w:rsid w:val="008D7B34"/>
    <w:rsid w:val="008E165E"/>
    <w:rsid w:val="008E37CD"/>
    <w:rsid w:val="008E38EB"/>
    <w:rsid w:val="008E4A0A"/>
    <w:rsid w:val="008E54FF"/>
    <w:rsid w:val="008E641D"/>
    <w:rsid w:val="008E7995"/>
    <w:rsid w:val="008F0D4F"/>
    <w:rsid w:val="008F1B59"/>
    <w:rsid w:val="008F1B89"/>
    <w:rsid w:val="008F1FE6"/>
    <w:rsid w:val="008F64CE"/>
    <w:rsid w:val="008F74C4"/>
    <w:rsid w:val="0090058E"/>
    <w:rsid w:val="009016CC"/>
    <w:rsid w:val="0090636E"/>
    <w:rsid w:val="00906A3C"/>
    <w:rsid w:val="00907A02"/>
    <w:rsid w:val="00910BCB"/>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69A"/>
    <w:rsid w:val="00983713"/>
    <w:rsid w:val="00987E07"/>
    <w:rsid w:val="009908DF"/>
    <w:rsid w:val="0099781E"/>
    <w:rsid w:val="009A29A7"/>
    <w:rsid w:val="009A32F3"/>
    <w:rsid w:val="009A57D0"/>
    <w:rsid w:val="009A5E78"/>
    <w:rsid w:val="009A67B0"/>
    <w:rsid w:val="009B003B"/>
    <w:rsid w:val="009B1C6A"/>
    <w:rsid w:val="009C0F40"/>
    <w:rsid w:val="009C7481"/>
    <w:rsid w:val="009D1A58"/>
    <w:rsid w:val="009D7B34"/>
    <w:rsid w:val="009E24FE"/>
    <w:rsid w:val="009E591E"/>
    <w:rsid w:val="009F054D"/>
    <w:rsid w:val="009F3021"/>
    <w:rsid w:val="009F3E31"/>
    <w:rsid w:val="009F7AA8"/>
    <w:rsid w:val="00A14215"/>
    <w:rsid w:val="00A17A10"/>
    <w:rsid w:val="00A22C31"/>
    <w:rsid w:val="00A26817"/>
    <w:rsid w:val="00A33C73"/>
    <w:rsid w:val="00A357D4"/>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166D"/>
    <w:rsid w:val="00AD4753"/>
    <w:rsid w:val="00AD5367"/>
    <w:rsid w:val="00AE0D13"/>
    <w:rsid w:val="00AE17CC"/>
    <w:rsid w:val="00AE3137"/>
    <w:rsid w:val="00AE339B"/>
    <w:rsid w:val="00AE3AE2"/>
    <w:rsid w:val="00AE4808"/>
    <w:rsid w:val="00AE5393"/>
    <w:rsid w:val="00AE77AF"/>
    <w:rsid w:val="00AF58BB"/>
    <w:rsid w:val="00B00577"/>
    <w:rsid w:val="00B0330C"/>
    <w:rsid w:val="00B14DAD"/>
    <w:rsid w:val="00B26B94"/>
    <w:rsid w:val="00B31E65"/>
    <w:rsid w:val="00B36F55"/>
    <w:rsid w:val="00B36FB3"/>
    <w:rsid w:val="00B42D7D"/>
    <w:rsid w:val="00B45C88"/>
    <w:rsid w:val="00B46BB0"/>
    <w:rsid w:val="00B47AEE"/>
    <w:rsid w:val="00B50196"/>
    <w:rsid w:val="00B52CBD"/>
    <w:rsid w:val="00B5339B"/>
    <w:rsid w:val="00B53682"/>
    <w:rsid w:val="00B5444E"/>
    <w:rsid w:val="00B617DB"/>
    <w:rsid w:val="00B64A8A"/>
    <w:rsid w:val="00B732AD"/>
    <w:rsid w:val="00B74BC0"/>
    <w:rsid w:val="00B77C2F"/>
    <w:rsid w:val="00B8044E"/>
    <w:rsid w:val="00B820E7"/>
    <w:rsid w:val="00B84285"/>
    <w:rsid w:val="00B857CB"/>
    <w:rsid w:val="00B85E9A"/>
    <w:rsid w:val="00B87BF9"/>
    <w:rsid w:val="00B919ED"/>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4CC7"/>
    <w:rsid w:val="00BE7368"/>
    <w:rsid w:val="00BE7506"/>
    <w:rsid w:val="00BF18B7"/>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11E22"/>
    <w:rsid w:val="00D1420C"/>
    <w:rsid w:val="00D17C3F"/>
    <w:rsid w:val="00D21521"/>
    <w:rsid w:val="00D239E2"/>
    <w:rsid w:val="00D25869"/>
    <w:rsid w:val="00D26275"/>
    <w:rsid w:val="00D275BC"/>
    <w:rsid w:val="00D27DA6"/>
    <w:rsid w:val="00D357D6"/>
    <w:rsid w:val="00D428E2"/>
    <w:rsid w:val="00D5443B"/>
    <w:rsid w:val="00D55CD4"/>
    <w:rsid w:val="00D60FDF"/>
    <w:rsid w:val="00D66BCA"/>
    <w:rsid w:val="00D66C06"/>
    <w:rsid w:val="00D70CE8"/>
    <w:rsid w:val="00D728D5"/>
    <w:rsid w:val="00D754E3"/>
    <w:rsid w:val="00D802A6"/>
    <w:rsid w:val="00D836F1"/>
    <w:rsid w:val="00D83DA9"/>
    <w:rsid w:val="00D878D4"/>
    <w:rsid w:val="00D87C06"/>
    <w:rsid w:val="00D95718"/>
    <w:rsid w:val="00DA4905"/>
    <w:rsid w:val="00DA6953"/>
    <w:rsid w:val="00DB0A45"/>
    <w:rsid w:val="00DC26FD"/>
    <w:rsid w:val="00DC37CF"/>
    <w:rsid w:val="00DC67C2"/>
    <w:rsid w:val="00DC6A03"/>
    <w:rsid w:val="00DE0476"/>
    <w:rsid w:val="00DE491E"/>
    <w:rsid w:val="00DE4D86"/>
    <w:rsid w:val="00DE5DF3"/>
    <w:rsid w:val="00DF1B8B"/>
    <w:rsid w:val="00DF2334"/>
    <w:rsid w:val="00DF3EDC"/>
    <w:rsid w:val="00DF66D2"/>
    <w:rsid w:val="00DF6CFF"/>
    <w:rsid w:val="00E00B49"/>
    <w:rsid w:val="00E10E73"/>
    <w:rsid w:val="00E11403"/>
    <w:rsid w:val="00E15B2F"/>
    <w:rsid w:val="00E15D9B"/>
    <w:rsid w:val="00E20B79"/>
    <w:rsid w:val="00E22354"/>
    <w:rsid w:val="00E23C89"/>
    <w:rsid w:val="00E26BD5"/>
    <w:rsid w:val="00E3106C"/>
    <w:rsid w:val="00E32772"/>
    <w:rsid w:val="00E32CF1"/>
    <w:rsid w:val="00E34BB2"/>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855F5"/>
    <w:rsid w:val="00E86CF5"/>
    <w:rsid w:val="00E87C74"/>
    <w:rsid w:val="00E9238B"/>
    <w:rsid w:val="00E9426D"/>
    <w:rsid w:val="00EA520B"/>
    <w:rsid w:val="00EA57D6"/>
    <w:rsid w:val="00EB4119"/>
    <w:rsid w:val="00EB63FF"/>
    <w:rsid w:val="00EB6FA4"/>
    <w:rsid w:val="00EC104A"/>
    <w:rsid w:val="00ED1150"/>
    <w:rsid w:val="00ED1317"/>
    <w:rsid w:val="00ED281C"/>
    <w:rsid w:val="00ED442C"/>
    <w:rsid w:val="00ED58E1"/>
    <w:rsid w:val="00EE12F1"/>
    <w:rsid w:val="00EE1B5C"/>
    <w:rsid w:val="00EF30E0"/>
    <w:rsid w:val="00EF57F6"/>
    <w:rsid w:val="00EF6F90"/>
    <w:rsid w:val="00F006FD"/>
    <w:rsid w:val="00F04541"/>
    <w:rsid w:val="00F1140A"/>
    <w:rsid w:val="00F11E5E"/>
    <w:rsid w:val="00F12A77"/>
    <w:rsid w:val="00F13013"/>
    <w:rsid w:val="00F1427A"/>
    <w:rsid w:val="00F14C3E"/>
    <w:rsid w:val="00F151BB"/>
    <w:rsid w:val="00F153D6"/>
    <w:rsid w:val="00F1673F"/>
    <w:rsid w:val="00F16A28"/>
    <w:rsid w:val="00F20FD3"/>
    <w:rsid w:val="00F2243B"/>
    <w:rsid w:val="00F27E16"/>
    <w:rsid w:val="00F3076D"/>
    <w:rsid w:val="00F41E6C"/>
    <w:rsid w:val="00F45159"/>
    <w:rsid w:val="00F47B7C"/>
    <w:rsid w:val="00F53AB0"/>
    <w:rsid w:val="00F55CAE"/>
    <w:rsid w:val="00F703DB"/>
    <w:rsid w:val="00F72B4E"/>
    <w:rsid w:val="00F75FAC"/>
    <w:rsid w:val="00F87628"/>
    <w:rsid w:val="00F903DB"/>
    <w:rsid w:val="00F9160F"/>
    <w:rsid w:val="00F964CD"/>
    <w:rsid w:val="00FA0DB5"/>
    <w:rsid w:val="00FA0FC4"/>
    <w:rsid w:val="00FA1319"/>
    <w:rsid w:val="00FA1CEE"/>
    <w:rsid w:val="00FA76B9"/>
    <w:rsid w:val="00FB30A8"/>
    <w:rsid w:val="00FB5B7B"/>
    <w:rsid w:val="00FB7632"/>
    <w:rsid w:val="00FC54E2"/>
    <w:rsid w:val="00FD1825"/>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A"/>
    <w:rPr>
      <w:rFonts w:ascii="Times New Roman" w:eastAsia="Calibri" w:hAnsi="Times New Roman" w:cs="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asciiTheme="minorHAnsi" w:eastAsiaTheme="minorEastAsia" w:hAnsiTheme="minorHAnsi" w:cstheme="minorBidi"/>
      <w:sz w:val="22"/>
    </w:rPr>
  </w:style>
  <w:style w:type="character" w:styleId="Emphasis">
    <w:name w:val="Emphasis"/>
    <w:basedOn w:val="DefaultParagraphFont"/>
    <w:uiPriority w:val="20"/>
    <w:qFormat/>
    <w:rsid w:val="00C3565A"/>
    <w:rPr>
      <w:i/>
      <w:iCs/>
    </w:rPr>
  </w:style>
  <w:style w:type="paragraph" w:customStyle="1" w:styleId="Default">
    <w:name w:val="Default"/>
    <w:rsid w:val="007D41DA"/>
    <w:pPr>
      <w:autoSpaceDE w:val="0"/>
      <w:autoSpaceDN w:val="0"/>
      <w:adjustRightInd w:val="0"/>
      <w:spacing w:after="0" w:line="240" w:lineRule="auto"/>
    </w:pPr>
    <w:rPr>
      <w:rFonts w:ascii="Cambria" w:eastAsia="Calibri" w:hAnsi="Cambria" w:cs="Cambria"/>
      <w:color w:val="000000"/>
      <w:sz w:val="24"/>
      <w:szCs w:val="24"/>
      <w:lang w:val="en-IN"/>
    </w:rPr>
  </w:style>
  <w:style w:type="paragraph" w:styleId="Header">
    <w:name w:val="header"/>
    <w:basedOn w:val="Normal"/>
    <w:link w:val="HeaderChar"/>
    <w:uiPriority w:val="99"/>
    <w:semiHidden/>
    <w:unhideWhenUsed/>
    <w:rsid w:val="007D41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41DA"/>
    <w:rPr>
      <w:rFonts w:ascii="Times New Roman" w:eastAsia="Calibri" w:hAnsi="Times New Roman" w:cs="Arial"/>
      <w:sz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2016-06-25T11:01:00Z</dcterms:created>
  <dcterms:modified xsi:type="dcterms:W3CDTF">2016-06-25T11:01:00Z</dcterms:modified>
</cp:coreProperties>
</file>